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8D87F4E" w14:textId="2FAF28BD" w:rsidR="00780477" w:rsidRPr="00780477" w:rsidRDefault="00780477">
      <w:pPr>
        <w:rPr>
          <w:rFonts w:ascii="Garamond" w:hAnsi="Garamond"/>
        </w:rPr>
      </w:pPr>
      <w:r w:rsidRPr="00780477">
        <w:rPr>
          <w:rFonts w:ascii="Garamond" w:hAnsi="Garamond"/>
        </w:rPr>
        <w:t>Ap</w:t>
      </w:r>
      <w:r w:rsidR="00793D59">
        <w:rPr>
          <w:rFonts w:ascii="Garamond" w:hAnsi="Garamond"/>
        </w:rPr>
        <w:t>p</w:t>
      </w:r>
      <w:r w:rsidRPr="00780477">
        <w:rPr>
          <w:rFonts w:ascii="Garamond" w:hAnsi="Garamond"/>
        </w:rPr>
        <w:t xml:space="preserve">endix E: Robustness Tests. </w:t>
      </w:r>
    </w:p>
    <w:p w14:paraId="344BD95E" w14:textId="2F5AC8DC" w:rsidR="007225C5" w:rsidRDefault="003F7516">
      <w:r>
        <w:rPr>
          <w:noProof/>
        </w:rPr>
        <w:drawing>
          <wp:inline distT="0" distB="0" distL="0" distR="0" wp14:anchorId="4DF13BEE" wp14:editId="0085B44B">
            <wp:extent cx="5486400" cy="36576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543942" w14:textId="77777777" w:rsidR="00C96DA7" w:rsidRPr="00C96DA7" w:rsidRDefault="003F7516">
      <w:pPr>
        <w:rPr>
          <w:rFonts w:ascii="Garamond" w:hAnsi="Garamond"/>
          <w:sz w:val="21"/>
          <w:szCs w:val="21"/>
        </w:rPr>
      </w:pPr>
      <w:r w:rsidRPr="00C96DA7">
        <w:rPr>
          <w:rFonts w:ascii="Garamond" w:hAnsi="Garamond"/>
          <w:sz w:val="21"/>
          <w:szCs w:val="21"/>
        </w:rPr>
        <w:t xml:space="preserve">Figure E1. </w:t>
      </w:r>
      <w:r w:rsidR="00C96DA7" w:rsidRPr="00C96DA7">
        <w:rPr>
          <w:rFonts w:ascii="Garamond" w:hAnsi="Garamond"/>
          <w:sz w:val="21"/>
          <w:szCs w:val="21"/>
        </w:rPr>
        <w:t xml:space="preserve">Scatterplot of Predicted Values of the Dependent Variable versus Residuals. Left-hand plot plots </w:t>
      </w:r>
      <w:proofErr w:type="gramStart"/>
      <w:r w:rsidR="00C96DA7" w:rsidRPr="00C96DA7">
        <w:rPr>
          <w:rFonts w:ascii="Garamond" w:hAnsi="Garamond"/>
          <w:sz w:val="21"/>
          <w:szCs w:val="21"/>
        </w:rPr>
        <w:t>estimates</w:t>
      </w:r>
      <w:proofErr w:type="gramEnd"/>
      <w:r w:rsidR="00C96DA7" w:rsidRPr="00C96DA7">
        <w:rPr>
          <w:rFonts w:ascii="Garamond" w:hAnsi="Garamond"/>
          <w:sz w:val="21"/>
          <w:szCs w:val="21"/>
        </w:rPr>
        <w:t xml:space="preserve"> for the untransformed overclaiming data, the right-hand plot for the log-transformed data. N.B Scales are necessarily different.</w:t>
      </w:r>
    </w:p>
    <w:p w14:paraId="3A7E78FB" w14:textId="77777777" w:rsidR="00C96DA7" w:rsidRDefault="00C96DA7"/>
    <w:p w14:paraId="6BB7EA9C" w14:textId="13382E50" w:rsidR="003F7516" w:rsidRDefault="00C96DA7">
      <w:r>
        <w:rPr>
          <w:noProof/>
        </w:rPr>
        <w:drawing>
          <wp:inline distT="0" distB="0" distL="0" distR="0" wp14:anchorId="45D27776" wp14:editId="4B4952E7">
            <wp:extent cx="5486400" cy="36576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14:paraId="6D555EBE" w14:textId="4E86F2E2" w:rsidR="00C96DA7" w:rsidRDefault="00C96DA7">
      <w:pPr>
        <w:rPr>
          <w:rFonts w:ascii="Garamond" w:hAnsi="Garamond"/>
          <w:sz w:val="21"/>
          <w:szCs w:val="21"/>
        </w:rPr>
      </w:pPr>
      <w:r w:rsidRPr="00C96DA7">
        <w:rPr>
          <w:rFonts w:ascii="Garamond" w:hAnsi="Garamond"/>
          <w:sz w:val="21"/>
          <w:szCs w:val="21"/>
        </w:rPr>
        <w:t>Figure E2. Scatterplot of Dependent Variable versus estimated distance from regression line using approach of Verardi &amp; McCathie (2012). Observations classified as outliers by Verardi &amp; McCathie (2012) estimator are plotted in light blue, other observations in black. Left-hand plot reports results for untransformed data, right-</w:t>
      </w:r>
      <w:r w:rsidRPr="00C96DA7">
        <w:rPr>
          <w:rFonts w:ascii="Garamond" w:hAnsi="Garamond"/>
          <w:sz w:val="21"/>
          <w:szCs w:val="21"/>
        </w:rPr>
        <w:lastRenderedPageBreak/>
        <w:t xml:space="preserve">hand plot for log-transformed data. In the untransformed data clear that the largest overclaims are all classified as outliers, unlike for the transformed data. </w:t>
      </w:r>
    </w:p>
    <w:p w14:paraId="2A20B5B9" w14:textId="651C381E" w:rsidR="00AE1659" w:rsidRDefault="00AE1659">
      <w:pPr>
        <w:rPr>
          <w:rFonts w:ascii="Garamond" w:hAnsi="Garamond"/>
          <w:sz w:val="21"/>
          <w:szCs w:val="21"/>
        </w:rPr>
      </w:pPr>
    </w:p>
    <w:p w14:paraId="06A1BF47" w14:textId="51F58811" w:rsidR="00FC4B32" w:rsidRDefault="00FC4B32">
      <w:pPr>
        <w:rPr>
          <w:rFonts w:ascii="Garamond" w:hAnsi="Garamond"/>
          <w:sz w:val="21"/>
          <w:szCs w:val="21"/>
        </w:rPr>
      </w:pPr>
      <w:r w:rsidRPr="00FC4B32">
        <w:rPr>
          <w:rFonts w:ascii="Garamond" w:hAnsi="Garamond"/>
          <w:noProof/>
          <w:sz w:val="21"/>
          <w:szCs w:val="21"/>
        </w:rPr>
        <w:drawing>
          <wp:inline distT="0" distB="0" distL="0" distR="0" wp14:anchorId="5371CD31" wp14:editId="63B7DAFA">
            <wp:extent cx="5731510" cy="547433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474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6ED33B" w14:textId="7C94AADC" w:rsidR="00AE1659" w:rsidRDefault="00FC4B32">
      <w:pPr>
        <w:rPr>
          <w:rFonts w:ascii="Garamond" w:hAnsi="Garamond"/>
          <w:sz w:val="21"/>
          <w:szCs w:val="21"/>
        </w:rPr>
      </w:pPr>
      <w:r w:rsidRPr="00FC4B32">
        <w:rPr>
          <w:rFonts w:ascii="Garamond" w:hAnsi="Garamond"/>
          <w:noProof/>
          <w:sz w:val="21"/>
          <w:szCs w:val="21"/>
        </w:rPr>
        <w:lastRenderedPageBreak/>
        <w:drawing>
          <wp:inline distT="0" distB="0" distL="0" distR="0" wp14:anchorId="6E6BB22E" wp14:editId="2523AFCE">
            <wp:extent cx="5731510" cy="417893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178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9E94DE" w14:textId="40C1DC6B" w:rsidR="00AE1659" w:rsidRDefault="00AE1659">
      <w:pPr>
        <w:rPr>
          <w:rFonts w:ascii="Garamond" w:hAnsi="Garamond"/>
          <w:sz w:val="21"/>
          <w:szCs w:val="21"/>
        </w:rPr>
      </w:pPr>
    </w:p>
    <w:p w14:paraId="6831D18E" w14:textId="5A4128E0" w:rsidR="00AE1659" w:rsidRDefault="00AE1659">
      <w:pPr>
        <w:rPr>
          <w:rFonts w:ascii="Garamond" w:hAnsi="Garamond"/>
          <w:sz w:val="21"/>
          <w:szCs w:val="21"/>
        </w:rPr>
      </w:pPr>
    </w:p>
    <w:p w14:paraId="10C9EF9F" w14:textId="45F06D5D" w:rsidR="00AE1659" w:rsidRDefault="00AE1659">
      <w:pPr>
        <w:rPr>
          <w:rFonts w:ascii="Garamond" w:hAnsi="Garamond"/>
          <w:sz w:val="21"/>
          <w:szCs w:val="21"/>
        </w:rPr>
      </w:pPr>
      <w:r>
        <w:rPr>
          <w:rFonts w:ascii="Garamond" w:hAnsi="Garamond"/>
          <w:sz w:val="21"/>
          <w:szCs w:val="21"/>
        </w:rPr>
        <w:t>References:</w:t>
      </w:r>
    </w:p>
    <w:p w14:paraId="69979D39" w14:textId="78778512" w:rsidR="00AE1659" w:rsidRDefault="00AE1659">
      <w:pPr>
        <w:rPr>
          <w:rFonts w:ascii="Garamond" w:hAnsi="Garamond"/>
          <w:sz w:val="21"/>
          <w:szCs w:val="21"/>
        </w:rPr>
      </w:pPr>
    </w:p>
    <w:p w14:paraId="1C38FCED" w14:textId="77777777" w:rsidR="00AE1659" w:rsidRPr="006C4D85" w:rsidRDefault="00AE1659" w:rsidP="00AE1659">
      <w:pPr>
        <w:pStyle w:val="EndNoteBibliography"/>
        <w:ind w:left="720" w:hanging="720"/>
        <w:rPr>
          <w:rFonts w:ascii="Garamond" w:hAnsi="Garamond" w:cs="Times New Roman"/>
          <w:noProof/>
          <w:sz w:val="21"/>
          <w:szCs w:val="21"/>
        </w:rPr>
      </w:pPr>
    </w:p>
    <w:p w14:paraId="3DA75451" w14:textId="75237148" w:rsidR="00AE1659" w:rsidRPr="006C4D85" w:rsidRDefault="00AE1659" w:rsidP="00AE1659">
      <w:pPr>
        <w:pStyle w:val="EndNoteBibliography"/>
        <w:ind w:left="720" w:hanging="720"/>
        <w:rPr>
          <w:rFonts w:ascii="Garamond" w:hAnsi="Garamond" w:cs="Times New Roman"/>
          <w:noProof/>
          <w:sz w:val="21"/>
          <w:szCs w:val="21"/>
        </w:rPr>
      </w:pPr>
      <w:r w:rsidRPr="006C4D85">
        <w:rPr>
          <w:rFonts w:ascii="Garamond" w:hAnsi="Garamond" w:cs="Times New Roman"/>
          <w:noProof/>
          <w:sz w:val="21"/>
          <w:szCs w:val="21"/>
        </w:rPr>
        <w:t xml:space="preserve">Huber, P. J. (1973). Robust Regression: Asymptotics, Conjectures and Monte Carlo. </w:t>
      </w:r>
      <w:r w:rsidRPr="006C4D85">
        <w:rPr>
          <w:rFonts w:ascii="Garamond" w:hAnsi="Garamond" w:cs="Times New Roman"/>
          <w:i/>
          <w:iCs/>
          <w:noProof/>
          <w:sz w:val="21"/>
          <w:szCs w:val="21"/>
        </w:rPr>
        <w:t>The Annals of Statistics</w:t>
      </w:r>
      <w:r w:rsidRPr="006C4D85">
        <w:rPr>
          <w:rFonts w:ascii="Garamond" w:hAnsi="Garamond" w:cs="Times New Roman"/>
          <w:noProof/>
          <w:sz w:val="21"/>
          <w:szCs w:val="21"/>
        </w:rPr>
        <w:t xml:space="preserve"> 1: 799-821.</w:t>
      </w:r>
    </w:p>
    <w:p w14:paraId="5BEF31E3" w14:textId="0259AC0F" w:rsidR="00AE1659" w:rsidRPr="006C4D85" w:rsidRDefault="00AE1659">
      <w:pPr>
        <w:rPr>
          <w:rFonts w:ascii="Garamond" w:hAnsi="Garamond"/>
          <w:sz w:val="21"/>
          <w:szCs w:val="21"/>
        </w:rPr>
      </w:pPr>
    </w:p>
    <w:p w14:paraId="05A6C607" w14:textId="77777777" w:rsidR="00AE1659" w:rsidRPr="006C4D85" w:rsidRDefault="00AE1659" w:rsidP="00AE1659">
      <w:pPr>
        <w:pStyle w:val="EndNoteBibliography"/>
        <w:ind w:left="720" w:hanging="720"/>
        <w:rPr>
          <w:rFonts w:ascii="Garamond" w:hAnsi="Garamond" w:cs="Times New Roman"/>
          <w:noProof/>
          <w:sz w:val="21"/>
          <w:szCs w:val="21"/>
        </w:rPr>
      </w:pPr>
      <w:r w:rsidRPr="006C4D85">
        <w:rPr>
          <w:rFonts w:ascii="Garamond" w:hAnsi="Garamond" w:cs="Times New Roman"/>
          <w:noProof/>
          <w:sz w:val="21"/>
          <w:szCs w:val="21"/>
        </w:rPr>
        <w:t>Neelon, B., O'Malley, A. J., &amp; Smith, V. A. (2016). Modeling zero</w:t>
      </w:r>
      <w:r w:rsidRPr="006C4D85">
        <w:rPr>
          <w:rFonts w:ascii="Cambria Math" w:hAnsi="Cambria Math" w:cs="Cambria Math"/>
          <w:noProof/>
          <w:sz w:val="21"/>
          <w:szCs w:val="21"/>
        </w:rPr>
        <w:t>‐</w:t>
      </w:r>
      <w:r w:rsidRPr="006C4D85">
        <w:rPr>
          <w:rFonts w:ascii="Garamond" w:hAnsi="Garamond" w:cs="Times New Roman"/>
          <w:noProof/>
          <w:sz w:val="21"/>
          <w:szCs w:val="21"/>
        </w:rPr>
        <w:t xml:space="preserve">modified count and semicontinuous data in health services research part 1: background and overview. </w:t>
      </w:r>
      <w:r w:rsidRPr="006C4D85">
        <w:rPr>
          <w:rFonts w:ascii="Garamond" w:hAnsi="Garamond" w:cs="Times New Roman"/>
          <w:i/>
          <w:noProof/>
          <w:sz w:val="21"/>
          <w:szCs w:val="21"/>
        </w:rPr>
        <w:t>Statistics in Medicine, 35</w:t>
      </w:r>
      <w:r w:rsidRPr="006C4D85">
        <w:rPr>
          <w:rFonts w:ascii="Garamond" w:hAnsi="Garamond" w:cs="Times New Roman"/>
          <w:noProof/>
          <w:sz w:val="21"/>
          <w:szCs w:val="21"/>
        </w:rPr>
        <w:t xml:space="preserve">(27), 5070-5093. </w:t>
      </w:r>
    </w:p>
    <w:p w14:paraId="10E326B0" w14:textId="77777777" w:rsidR="00AE1659" w:rsidRPr="006C4D85" w:rsidRDefault="00AE1659" w:rsidP="00AE1659">
      <w:pPr>
        <w:pStyle w:val="NormalWeb"/>
        <w:ind w:left="480" w:hanging="480"/>
        <w:rPr>
          <w:rFonts w:ascii="Garamond" w:hAnsi="Garamond"/>
          <w:sz w:val="21"/>
          <w:szCs w:val="21"/>
        </w:rPr>
      </w:pPr>
      <w:proofErr w:type="spellStart"/>
      <w:r w:rsidRPr="006C4D85">
        <w:rPr>
          <w:rFonts w:ascii="Garamond" w:hAnsi="Garamond"/>
          <w:sz w:val="21"/>
          <w:szCs w:val="21"/>
        </w:rPr>
        <w:t>Verardi</w:t>
      </w:r>
      <w:proofErr w:type="spellEnd"/>
      <w:r w:rsidRPr="006C4D85">
        <w:rPr>
          <w:rFonts w:ascii="Garamond" w:hAnsi="Garamond"/>
          <w:sz w:val="21"/>
          <w:szCs w:val="21"/>
        </w:rPr>
        <w:t xml:space="preserve">, V., &amp; </w:t>
      </w:r>
      <w:proofErr w:type="spellStart"/>
      <w:r w:rsidRPr="006C4D85">
        <w:rPr>
          <w:rFonts w:ascii="Garamond" w:hAnsi="Garamond"/>
          <w:sz w:val="21"/>
          <w:szCs w:val="21"/>
        </w:rPr>
        <w:t>McCathie</w:t>
      </w:r>
      <w:proofErr w:type="spellEnd"/>
      <w:r w:rsidRPr="006C4D85">
        <w:rPr>
          <w:rFonts w:ascii="Garamond" w:hAnsi="Garamond"/>
          <w:sz w:val="21"/>
          <w:szCs w:val="21"/>
        </w:rPr>
        <w:t xml:space="preserve">, A. (2012). The S-Estimator of Multivariate Location and Scatter in Stata. </w:t>
      </w:r>
      <w:r w:rsidRPr="006C4D85">
        <w:rPr>
          <w:rFonts w:ascii="Garamond" w:hAnsi="Garamond"/>
          <w:i/>
          <w:iCs/>
          <w:sz w:val="21"/>
          <w:szCs w:val="21"/>
        </w:rPr>
        <w:t>The Stata Journal</w:t>
      </w:r>
      <w:r w:rsidRPr="006C4D85">
        <w:rPr>
          <w:rFonts w:ascii="Garamond" w:hAnsi="Garamond"/>
          <w:sz w:val="21"/>
          <w:szCs w:val="21"/>
        </w:rPr>
        <w:t xml:space="preserve">, </w:t>
      </w:r>
      <w:r w:rsidRPr="006C4D85">
        <w:rPr>
          <w:rFonts w:ascii="Garamond" w:hAnsi="Garamond"/>
          <w:i/>
          <w:iCs/>
          <w:sz w:val="21"/>
          <w:szCs w:val="21"/>
        </w:rPr>
        <w:t>12</w:t>
      </w:r>
      <w:r w:rsidRPr="006C4D85">
        <w:rPr>
          <w:rFonts w:ascii="Garamond" w:hAnsi="Garamond"/>
          <w:sz w:val="21"/>
          <w:szCs w:val="21"/>
        </w:rPr>
        <w:t>(2), 299–307. https://doi.org/10.1177/1536867X1201200208</w:t>
      </w:r>
    </w:p>
    <w:p w14:paraId="452A5FB7" w14:textId="77777777" w:rsidR="00AE1659" w:rsidRPr="006C4D85" w:rsidRDefault="00AE1659">
      <w:pPr>
        <w:rPr>
          <w:rFonts w:ascii="Garamond" w:hAnsi="Garamond"/>
          <w:b/>
          <w:bCs/>
          <w:sz w:val="21"/>
          <w:szCs w:val="21"/>
        </w:rPr>
      </w:pPr>
    </w:p>
    <w:sectPr w:rsidR="00AE1659" w:rsidRPr="006C4D85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2" w:usb2="00000000" w:usb3="00000000" w:csb0="000000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62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F7516"/>
    <w:rsid w:val="0027711C"/>
    <w:rsid w:val="003F7516"/>
    <w:rsid w:val="006C4D85"/>
    <w:rsid w:val="00780477"/>
    <w:rsid w:val="00793D59"/>
    <w:rsid w:val="00897C84"/>
    <w:rsid w:val="00AE1659"/>
    <w:rsid w:val="00B50302"/>
    <w:rsid w:val="00C96DA7"/>
    <w:rsid w:val="00DD4F65"/>
    <w:rsid w:val="00FC4B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67664488"/>
  <w15:chartTrackingRefBased/>
  <w15:docId w15:val="{C59E513E-587A-A047-A8C8-4CF90393E2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EndNoteBibliography">
    <w:name w:val="EndNote Bibliography"/>
    <w:basedOn w:val="Normal"/>
    <w:link w:val="EndNoteBibliographyChar"/>
    <w:rsid w:val="00AE1659"/>
    <w:pPr>
      <w:jc w:val="both"/>
    </w:pPr>
    <w:rPr>
      <w:rFonts w:ascii="Calibri" w:hAnsi="Calibri" w:cs="Calibri"/>
      <w:lang w:val="en-US"/>
    </w:rPr>
  </w:style>
  <w:style w:type="character" w:customStyle="1" w:styleId="EndNoteBibliographyChar">
    <w:name w:val="EndNote Bibliography Char"/>
    <w:basedOn w:val="DefaultParagraphFont"/>
    <w:link w:val="EndNoteBibliography"/>
    <w:rsid w:val="00AE1659"/>
    <w:rPr>
      <w:rFonts w:ascii="Calibri" w:hAnsi="Calibri" w:cs="Calibri"/>
      <w:lang w:val="en-US"/>
    </w:rPr>
  </w:style>
  <w:style w:type="paragraph" w:styleId="NormalWeb">
    <w:name w:val="Normal (Web)"/>
    <w:basedOn w:val="Normal"/>
    <w:uiPriority w:val="99"/>
    <w:semiHidden/>
    <w:unhideWhenUsed/>
    <w:rsid w:val="00AE1659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068459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324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5" Type="http://schemas.openxmlformats.org/officeDocument/2006/relationships/image" Target="media/image2.emf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194</Words>
  <Characters>1110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James Rockey (Economics)</dc:creator>
  <cp:keywords/>
  <dc:description/>
  <cp:lastModifiedBy>James Rockey (Economics)</cp:lastModifiedBy>
  <cp:revision>2</cp:revision>
  <dcterms:created xsi:type="dcterms:W3CDTF">2021-01-31T11:36:00Z</dcterms:created>
  <dcterms:modified xsi:type="dcterms:W3CDTF">2021-01-31T11:36:00Z</dcterms:modified>
</cp:coreProperties>
</file>