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982500" w14:textId="77777777" w:rsidR="00635FA6" w:rsidRDefault="00635FA6" w:rsidP="00A14452">
      <w:pPr>
        <w:jc w:val="center"/>
      </w:pPr>
      <w:r>
        <w:rPr>
          <w:b/>
          <w:bCs/>
        </w:rPr>
        <w:t>ONLINE APPENDIX A</w:t>
      </w:r>
    </w:p>
    <w:p w14:paraId="5B6F9201" w14:textId="77777777" w:rsidR="009B0636" w:rsidRDefault="009B0636" w:rsidP="00635FA6"/>
    <w:p w14:paraId="6CBC59F7" w14:textId="10D43CFD" w:rsidR="009B0636" w:rsidRDefault="009B0636" w:rsidP="00635FA6"/>
    <w:p w14:paraId="28A86BC2" w14:textId="74FD5853" w:rsidR="00840374" w:rsidRPr="00390FD4" w:rsidRDefault="00840374" w:rsidP="00390FD4">
      <w:pPr>
        <w:pStyle w:val="ListParagraph"/>
        <w:numPr>
          <w:ilvl w:val="0"/>
          <w:numId w:val="1"/>
        </w:numPr>
        <w:spacing w:line="480" w:lineRule="auto"/>
        <w:rPr>
          <w:rFonts w:ascii="Garamond" w:hAnsi="Garamond" w:cs="Times New Roman"/>
          <w:b/>
          <w:bCs/>
        </w:rPr>
      </w:pPr>
      <w:r w:rsidRPr="00390FD4">
        <w:rPr>
          <w:rFonts w:ascii="Garamond" w:hAnsi="Garamond" w:cs="Times New Roman"/>
          <w:b/>
          <w:bCs/>
        </w:rPr>
        <w:t>Overclaiming Data</w:t>
      </w:r>
      <w:r w:rsidR="009B0636" w:rsidRPr="00390FD4">
        <w:rPr>
          <w:rFonts w:ascii="Garamond" w:hAnsi="Garamond" w:cs="Times New Roman"/>
          <w:b/>
          <w:bCs/>
        </w:rPr>
        <w:t xml:space="preserve">    </w:t>
      </w:r>
    </w:p>
    <w:p w14:paraId="2917E697" w14:textId="3B438740" w:rsidR="009B0636" w:rsidRPr="00512311" w:rsidRDefault="009B0636" w:rsidP="009B0636">
      <w:pPr>
        <w:spacing w:line="480" w:lineRule="auto"/>
      </w:pPr>
      <w:r>
        <w:rPr>
          <w:rFonts w:ascii="Garamond" w:hAnsi="Garamond" w:cs="Times New Roman"/>
        </w:rPr>
        <w:t xml:space="preserve"> </w:t>
      </w:r>
      <w:r w:rsidRPr="00DE1283">
        <w:rPr>
          <w:rFonts w:ascii="Garamond" w:hAnsi="Garamond" w:cs="Times New Roman"/>
        </w:rPr>
        <w:t xml:space="preserve">Figure </w:t>
      </w:r>
      <w:r w:rsidR="00BC7AAC">
        <w:rPr>
          <w:rFonts w:ascii="Garamond" w:hAnsi="Garamond" w:cs="Times New Roman"/>
        </w:rPr>
        <w:t>A</w:t>
      </w:r>
      <w:r w:rsidRPr="00DE1283">
        <w:rPr>
          <w:rFonts w:ascii="Garamond" w:hAnsi="Garamond" w:cs="Times New Roman"/>
        </w:rPr>
        <w:t>1</w:t>
      </w:r>
      <w:r>
        <w:rPr>
          <w:rFonts w:ascii="Garamond" w:hAnsi="Garamond" w:cs="Times New Roman"/>
          <w:b/>
          <w:bCs/>
        </w:rPr>
        <w:t xml:space="preserve"> </w:t>
      </w:r>
      <w:r>
        <w:rPr>
          <w:rFonts w:ascii="Garamond" w:hAnsi="Garamond" w:cs="Times New Roman"/>
        </w:rPr>
        <w:t xml:space="preserve">presents </w:t>
      </w:r>
      <w:r w:rsidR="00BC7AAC">
        <w:rPr>
          <w:rFonts w:ascii="Garamond" w:hAnsi="Garamond" w:cs="Times New Roman"/>
        </w:rPr>
        <w:t xml:space="preserve">the </w:t>
      </w:r>
      <w:r>
        <w:rPr>
          <w:rFonts w:ascii="Garamond" w:hAnsi="Garamond" w:cs="Times New Roman"/>
        </w:rPr>
        <w:t xml:space="preserve">histograms summarizing the total repayments recommended in the Legg Report. Plot (a) shows the raw data which indicate that, while many MPs </w:t>
      </w:r>
      <w:r w:rsidR="00BC7AAC">
        <w:rPr>
          <w:rFonts w:ascii="Garamond" w:hAnsi="Garamond" w:cs="Times New Roman"/>
        </w:rPr>
        <w:t xml:space="preserve">reportedly </w:t>
      </w:r>
      <w:r>
        <w:rPr>
          <w:rFonts w:ascii="Garamond" w:hAnsi="Garamond" w:cs="Times New Roman"/>
        </w:rPr>
        <w:t>did not overclaim at all (</w:t>
      </w:r>
      <w:r w:rsidR="00BC7AAC">
        <w:rPr>
          <w:rFonts w:ascii="Garamond" w:hAnsi="Garamond" w:cs="Times New Roman"/>
        </w:rPr>
        <w:t xml:space="preserve">e.g., </w:t>
      </w:r>
      <w:r>
        <w:rPr>
          <w:rFonts w:ascii="Garamond" w:hAnsi="Garamond" w:cs="Times New Roman"/>
        </w:rPr>
        <w:t xml:space="preserve">Legg disregarded cumulative errors less than a few hundred pounds), those who did tended to not overclaim relatively small amounts, and therefore, there is a long tail of large amounts of overclaiming. For this reason, plot (b) shows the logarithm of the data, which are approximately normally distributed conditional on having overclaimed, with an additional mass point at 0. </w:t>
      </w:r>
    </w:p>
    <w:p w14:paraId="14F600E8" w14:textId="77777777" w:rsidR="009B0636" w:rsidRDefault="009B0636" w:rsidP="009B0636">
      <w:pPr>
        <w:spacing w:line="480" w:lineRule="auto"/>
        <w:rPr>
          <w:rFonts w:ascii="Garamond" w:eastAsia="MS Mincho" w:hAnsi="Garamond" w:cs="Times New Roman"/>
          <w:i/>
        </w:rPr>
      </w:pPr>
      <w:r>
        <w:rPr>
          <w:noProof/>
          <w:lang w:eastAsia="ja-JP"/>
        </w:rPr>
        <w:drawing>
          <wp:inline distT="0" distB="0" distL="0" distR="0" wp14:anchorId="199FC601" wp14:editId="217BE1FE">
            <wp:extent cx="5642401" cy="41055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paymenthist.pdf"/>
                    <pic:cNvPicPr/>
                  </pic:nvPicPr>
                  <pic:blipFill>
                    <a:blip r:embed="rId7">
                      <a:extLst>
                        <a:ext uri="{28A0092B-C50C-407E-A947-70E740481C1C}">
                          <a14:useLocalDpi xmlns:a14="http://schemas.microsoft.com/office/drawing/2010/main" val="0"/>
                        </a:ext>
                      </a:extLst>
                    </a:blip>
                    <a:stretch>
                      <a:fillRect/>
                    </a:stretch>
                  </pic:blipFill>
                  <pic:spPr>
                    <a:xfrm>
                      <a:off x="0" y="0"/>
                      <a:ext cx="5642401" cy="4105560"/>
                    </a:xfrm>
                    <a:prstGeom prst="rect">
                      <a:avLst/>
                    </a:prstGeom>
                  </pic:spPr>
                </pic:pic>
              </a:graphicData>
            </a:graphic>
          </wp:inline>
        </w:drawing>
      </w:r>
      <w:r w:rsidRPr="004B506D">
        <w:rPr>
          <w:rFonts w:ascii="Garamond" w:eastAsia="MS Mincho" w:hAnsi="Garamond" w:cs="Times New Roman"/>
          <w:i/>
        </w:rPr>
        <w:t xml:space="preserve"> </w:t>
      </w:r>
    </w:p>
    <w:p w14:paraId="3C8D73C9" w14:textId="62411165" w:rsidR="009B0636" w:rsidRDefault="009B0636" w:rsidP="009B0636">
      <w:pPr>
        <w:spacing w:line="480" w:lineRule="auto"/>
        <w:rPr>
          <w:rFonts w:ascii="Garamond" w:eastAsia="MS Mincho" w:hAnsi="Garamond" w:cs="Times New Roman"/>
          <w:i/>
        </w:rPr>
      </w:pPr>
      <w:r w:rsidRPr="00C57644">
        <w:rPr>
          <w:rFonts w:ascii="Garamond" w:eastAsia="MS Mincho" w:hAnsi="Garamond" w:cs="Times New Roman"/>
          <w:i/>
        </w:rPr>
        <w:t xml:space="preserve">Figure </w:t>
      </w:r>
      <w:r>
        <w:rPr>
          <w:rFonts w:ascii="Garamond" w:eastAsia="MS Mincho" w:hAnsi="Garamond" w:cs="Times New Roman"/>
          <w:i/>
        </w:rPr>
        <w:t>A</w:t>
      </w:r>
      <w:r w:rsidRPr="00C57644">
        <w:rPr>
          <w:rFonts w:ascii="Garamond" w:eastAsia="MS Mincho" w:hAnsi="Garamond" w:cs="Times New Roman"/>
          <w:i/>
        </w:rPr>
        <w:t xml:space="preserve">1. </w:t>
      </w:r>
      <w:r>
        <w:rPr>
          <w:rFonts w:ascii="Garamond" w:eastAsia="MS Mincho" w:hAnsi="Garamond" w:cs="Times New Roman"/>
          <w:i/>
        </w:rPr>
        <w:t>Histograms showing the distribution of repayment amounts recommended in the Legg Report</w:t>
      </w:r>
      <w:r w:rsidRPr="00C57644">
        <w:rPr>
          <w:rFonts w:ascii="Garamond" w:eastAsia="MS Mincho" w:hAnsi="Garamond" w:cs="Times New Roman"/>
          <w:i/>
        </w:rPr>
        <w:t>.</w:t>
      </w:r>
      <w:r>
        <w:rPr>
          <w:rFonts w:ascii="Garamond" w:eastAsia="MS Mincho" w:hAnsi="Garamond" w:cs="Times New Roman"/>
          <w:i/>
        </w:rPr>
        <w:t xml:space="preserve"> Panel (a) reports actual amounts. Panel (b) reports the logarithm of these amounts plus £1. Panel (c) reports the logarithm of these amounts for the subset who overclaimed a positive amount. </w:t>
      </w:r>
      <w:r w:rsidRPr="00C57644">
        <w:rPr>
          <w:rFonts w:ascii="Garamond" w:eastAsia="MS Mincho" w:hAnsi="Garamond" w:cs="Times New Roman"/>
          <w:i/>
        </w:rPr>
        <w:t>See text for further details.</w:t>
      </w:r>
    </w:p>
    <w:p w14:paraId="39346AE3" w14:textId="2AF54A0D" w:rsidR="009B0636" w:rsidRDefault="009B0636" w:rsidP="00635FA6"/>
    <w:p w14:paraId="1F26A86B" w14:textId="2B84E46D" w:rsidR="009B0636" w:rsidRDefault="009B0636" w:rsidP="00635FA6"/>
    <w:p w14:paraId="243C023D" w14:textId="77777777" w:rsidR="000B76ED" w:rsidRDefault="000B76ED" w:rsidP="00635FA6"/>
    <w:p w14:paraId="46A18A30" w14:textId="1CDDCA8B" w:rsidR="00635FA6" w:rsidRPr="00390FD4" w:rsidRDefault="00635FA6" w:rsidP="00390FD4">
      <w:pPr>
        <w:pStyle w:val="ListParagraph"/>
        <w:numPr>
          <w:ilvl w:val="0"/>
          <w:numId w:val="1"/>
        </w:numPr>
        <w:rPr>
          <w:rFonts w:ascii="Garamond" w:hAnsi="Garamond"/>
          <w:b/>
          <w:bCs/>
        </w:rPr>
      </w:pPr>
      <w:r w:rsidRPr="00390FD4">
        <w:rPr>
          <w:rFonts w:ascii="Garamond" w:hAnsi="Garamond"/>
          <w:b/>
          <w:bCs/>
        </w:rPr>
        <w:t>Further TT Results</w:t>
      </w:r>
    </w:p>
    <w:p w14:paraId="3E3F2D80" w14:textId="77777777" w:rsidR="00635FA6" w:rsidRPr="00D15971" w:rsidRDefault="00635FA6" w:rsidP="00635FA6"/>
    <w:p w14:paraId="18C16E14" w14:textId="5FCD5EA8" w:rsidR="00635FA6" w:rsidRDefault="00635FA6" w:rsidP="00635FA6">
      <w:r w:rsidRPr="00B4042F">
        <w:rPr>
          <w:noProof/>
          <w:lang w:eastAsia="ja-JP"/>
        </w:rPr>
        <w:drawing>
          <wp:inline distT="0" distB="0" distL="0" distR="0" wp14:anchorId="181AFE92" wp14:editId="109E9485">
            <wp:extent cx="3263900" cy="23749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263900" cy="2374900"/>
                    </a:xfrm>
                    <a:prstGeom prst="rect">
                      <a:avLst/>
                    </a:prstGeom>
                  </pic:spPr>
                </pic:pic>
              </a:graphicData>
            </a:graphic>
          </wp:inline>
        </w:drawing>
      </w:r>
    </w:p>
    <w:p w14:paraId="64B53C61" w14:textId="34A6A0FA" w:rsidR="009B0636" w:rsidRPr="00A14452" w:rsidRDefault="009B0636" w:rsidP="00A14452">
      <w:pPr>
        <w:spacing w:line="480" w:lineRule="auto"/>
        <w:rPr>
          <w:rFonts w:ascii="Garamond" w:eastAsia="MS Mincho" w:hAnsi="Garamond" w:cs="Times New Roman"/>
          <w:i/>
        </w:rPr>
      </w:pPr>
      <w:r w:rsidRPr="00A14452">
        <w:rPr>
          <w:rFonts w:ascii="Garamond" w:eastAsia="MS Mincho" w:hAnsi="Garamond" w:cs="Times New Roman"/>
          <w:i/>
        </w:rPr>
        <w:t>Figure A2:</w:t>
      </w:r>
      <w:r w:rsidR="000B76ED" w:rsidRPr="00A14452">
        <w:rPr>
          <w:rFonts w:ascii="Garamond" w:eastAsia="MS Mincho" w:hAnsi="Garamond" w:cs="Times New Roman"/>
          <w:i/>
        </w:rPr>
        <w:t xml:space="preserve"> </w:t>
      </w:r>
      <w:proofErr w:type="spellStart"/>
      <w:r w:rsidR="000B76ED" w:rsidRPr="00A14452">
        <w:rPr>
          <w:rFonts w:ascii="Garamond" w:eastAsia="MS Mincho" w:hAnsi="Garamond" w:cs="Times New Roman"/>
          <w:i/>
        </w:rPr>
        <w:t>Screeplot</w:t>
      </w:r>
      <w:proofErr w:type="spellEnd"/>
      <w:r w:rsidR="000B76ED" w:rsidRPr="00A14452">
        <w:rPr>
          <w:rFonts w:ascii="Garamond" w:eastAsia="MS Mincho" w:hAnsi="Garamond" w:cs="Times New Roman"/>
          <w:i/>
        </w:rPr>
        <w:t xml:space="preserve"> of the variances of each component identified by the TT. There are three components with variances greater than 1 (Attractiveness 3.46, </w:t>
      </w:r>
      <w:r w:rsidR="001F65E0">
        <w:rPr>
          <w:rFonts w:ascii="Garamond" w:eastAsia="MS Mincho" w:hAnsi="Garamond" w:cs="Times New Roman"/>
          <w:i/>
        </w:rPr>
        <w:t>Criminality</w:t>
      </w:r>
      <w:r w:rsidR="000B76ED" w:rsidRPr="00A14452">
        <w:rPr>
          <w:rFonts w:ascii="Garamond" w:eastAsia="MS Mincho" w:hAnsi="Garamond" w:cs="Times New Roman"/>
          <w:i/>
        </w:rPr>
        <w:t xml:space="preserve"> 2.15, Competence 1.61). The variance of the fourth factor was 0.63.</w:t>
      </w:r>
    </w:p>
    <w:p w14:paraId="2A860A55" w14:textId="77777777" w:rsidR="009B0636" w:rsidRDefault="009B0636" w:rsidP="00635FA6"/>
    <w:p w14:paraId="4FA8C24B" w14:textId="77777777" w:rsidR="00635FA6" w:rsidRDefault="00635FA6" w:rsidP="00635FA6"/>
    <w:p w14:paraId="18328699" w14:textId="7161B846" w:rsidR="00635FA6" w:rsidRDefault="00635FA6" w:rsidP="00635FA6">
      <w:r w:rsidRPr="00F748F4">
        <w:rPr>
          <w:noProof/>
          <w:lang w:eastAsia="ja-JP"/>
        </w:rPr>
        <w:drawing>
          <wp:inline distT="0" distB="0" distL="0" distR="0" wp14:anchorId="768ABE2C" wp14:editId="0562CDEC">
            <wp:extent cx="5681975" cy="390487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681975" cy="3904871"/>
                    </a:xfrm>
                    <a:prstGeom prst="rect">
                      <a:avLst/>
                    </a:prstGeom>
                  </pic:spPr>
                </pic:pic>
              </a:graphicData>
            </a:graphic>
          </wp:inline>
        </w:drawing>
      </w:r>
    </w:p>
    <w:p w14:paraId="4CE756AE" w14:textId="3A8299CC" w:rsidR="009B0636" w:rsidRDefault="009B0636" w:rsidP="00635FA6"/>
    <w:p w14:paraId="173748D5" w14:textId="304E1E6D" w:rsidR="000B76ED" w:rsidRPr="00CB1DF0" w:rsidRDefault="000B76ED" w:rsidP="00CB1DF0">
      <w:pPr>
        <w:spacing w:line="480" w:lineRule="auto"/>
        <w:rPr>
          <w:rFonts w:ascii="Garamond" w:eastAsia="MS Mincho" w:hAnsi="Garamond" w:cs="Times New Roman"/>
          <w:i/>
        </w:rPr>
      </w:pPr>
      <w:r w:rsidRPr="00A14452">
        <w:rPr>
          <w:rFonts w:ascii="Garamond" w:eastAsia="MS Mincho" w:hAnsi="Garamond" w:cs="Times New Roman"/>
          <w:i/>
        </w:rPr>
        <w:t xml:space="preserve">Figure A3: Details of variances of each component and their loadings. </w:t>
      </w:r>
    </w:p>
    <w:p w14:paraId="5F7FED89" w14:textId="2C7A0387" w:rsidR="000B76ED" w:rsidRDefault="000B76ED" w:rsidP="00635FA6">
      <w:r w:rsidRPr="000B76ED">
        <w:rPr>
          <w:noProof/>
        </w:rPr>
        <w:lastRenderedPageBreak/>
        <w:drawing>
          <wp:inline distT="0" distB="0" distL="0" distR="0" wp14:anchorId="5F9D4A26" wp14:editId="26291D05">
            <wp:extent cx="4441556" cy="7893586"/>
            <wp:effectExtent l="0" t="0" r="3810" b="0"/>
            <wp:docPr id="2" name="Picture 2" descr="A screenshot of a social media po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458706" cy="7924066"/>
                    </a:xfrm>
                    <a:prstGeom prst="rect">
                      <a:avLst/>
                    </a:prstGeom>
                  </pic:spPr>
                </pic:pic>
              </a:graphicData>
            </a:graphic>
          </wp:inline>
        </w:drawing>
      </w:r>
    </w:p>
    <w:p w14:paraId="5FE60B96" w14:textId="43E00441" w:rsidR="000B76ED" w:rsidRPr="00A14452" w:rsidRDefault="000B76ED" w:rsidP="00A14452">
      <w:pPr>
        <w:spacing w:line="480" w:lineRule="auto"/>
        <w:rPr>
          <w:rFonts w:ascii="Garamond" w:eastAsia="MS Mincho" w:hAnsi="Garamond" w:cs="Times New Roman"/>
          <w:i/>
        </w:rPr>
      </w:pPr>
      <w:r w:rsidRPr="00A14452">
        <w:rPr>
          <w:rFonts w:ascii="Garamond" w:eastAsia="MS Mincho" w:hAnsi="Garamond" w:cs="Times New Roman"/>
          <w:i/>
        </w:rPr>
        <w:t xml:space="preserve">Figure A4: Bootstrap test of stability of factor structure. </w:t>
      </w:r>
      <w:r w:rsidR="00FF4A5B" w:rsidRPr="00A14452">
        <w:rPr>
          <w:rFonts w:ascii="Garamond" w:eastAsia="MS Mincho" w:hAnsi="Garamond" w:cs="Times New Roman"/>
          <w:i/>
        </w:rPr>
        <w:t xml:space="preserve">The results show that the three identified factors, have the same loading and sign pattern for all 1000 bootstrap replicates. This suggests that the identified factor structure is robust to excluding subsamples of MPs. </w:t>
      </w:r>
    </w:p>
    <w:p w14:paraId="2D08ADD8" w14:textId="4101F655" w:rsidR="000B76ED" w:rsidRDefault="000B76ED" w:rsidP="00635FA6"/>
    <w:p w14:paraId="035403EF" w14:textId="38F20CEF" w:rsidR="000B76ED" w:rsidRPr="00390FD4" w:rsidRDefault="00840374" w:rsidP="00390FD4">
      <w:pPr>
        <w:pStyle w:val="ListParagraph"/>
        <w:numPr>
          <w:ilvl w:val="0"/>
          <w:numId w:val="1"/>
        </w:numPr>
        <w:spacing w:line="480" w:lineRule="auto"/>
        <w:rPr>
          <w:rFonts w:ascii="Garamond" w:eastAsia="MS Mincho" w:hAnsi="Garamond" w:cs="Times New Roman"/>
          <w:b/>
          <w:bCs/>
        </w:rPr>
      </w:pPr>
      <w:r w:rsidRPr="00390FD4">
        <w:rPr>
          <w:rFonts w:ascii="Garamond" w:eastAsia="MS Mincho" w:hAnsi="Garamond" w:cs="Times New Roman"/>
          <w:b/>
          <w:bCs/>
        </w:rPr>
        <w:t xml:space="preserve">Latent Factors </w:t>
      </w:r>
    </w:p>
    <w:p w14:paraId="0D898127" w14:textId="77777777" w:rsidR="000B76ED" w:rsidRDefault="000B76ED" w:rsidP="00635FA6"/>
    <w:p w14:paraId="3CB0CA23" w14:textId="77777777" w:rsidR="009B0636" w:rsidRDefault="009B0636" w:rsidP="009B0636">
      <w:r w:rsidRPr="00016D5B">
        <w:rPr>
          <w:rFonts w:ascii="Garamond" w:eastAsia="MS Mincho" w:hAnsi="Garamond" w:cs="Times New Roman"/>
          <w:noProof/>
          <w:lang w:eastAsia="ja-JP"/>
        </w:rPr>
        <w:drawing>
          <wp:inline distT="0" distB="0" distL="0" distR="0" wp14:anchorId="3DDE1D0E" wp14:editId="6CFDB9B4">
            <wp:extent cx="5418635" cy="213834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1">
                      <a:extLst>
                        <a:ext uri="{28A0092B-C50C-407E-A947-70E740481C1C}">
                          <a14:useLocalDpi xmlns:a14="http://schemas.microsoft.com/office/drawing/2010/main" val="0"/>
                        </a:ext>
                      </a:extLst>
                    </a:blip>
                    <a:stretch>
                      <a:fillRect/>
                    </a:stretch>
                  </pic:blipFill>
                  <pic:spPr>
                    <a:xfrm>
                      <a:off x="0" y="0"/>
                      <a:ext cx="5418635" cy="2138345"/>
                    </a:xfrm>
                    <a:prstGeom prst="rect">
                      <a:avLst/>
                    </a:prstGeom>
                  </pic:spPr>
                </pic:pic>
              </a:graphicData>
            </a:graphic>
          </wp:inline>
        </w:drawing>
      </w:r>
    </w:p>
    <w:p w14:paraId="654766C5" w14:textId="78DF98E7" w:rsidR="009B0636" w:rsidRDefault="009B0636" w:rsidP="009B0636">
      <w:pPr>
        <w:spacing w:line="480" w:lineRule="auto"/>
        <w:rPr>
          <w:rFonts w:ascii="Garamond" w:eastAsia="MS Mincho" w:hAnsi="Garamond" w:cs="Times New Roman"/>
          <w:i/>
          <w:iCs/>
        </w:rPr>
      </w:pPr>
      <w:r>
        <w:rPr>
          <w:rFonts w:ascii="Garamond" w:eastAsia="MS Mincho" w:hAnsi="Garamond" w:cs="Times New Roman"/>
          <w:i/>
          <w:iCs/>
        </w:rPr>
        <w:t xml:space="preserve">Figure </w:t>
      </w:r>
      <w:r w:rsidR="00840374">
        <w:rPr>
          <w:rFonts w:ascii="Garamond" w:eastAsia="MS Mincho" w:hAnsi="Garamond" w:cs="Times New Roman"/>
          <w:i/>
          <w:iCs/>
        </w:rPr>
        <w:t>A5</w:t>
      </w:r>
      <w:r>
        <w:rPr>
          <w:rFonts w:ascii="Garamond" w:eastAsia="MS Mincho" w:hAnsi="Garamond" w:cs="Times New Roman"/>
          <w:i/>
          <w:iCs/>
        </w:rPr>
        <w:t xml:space="preserve">. Scatter plots showing the unconditional relationship between standardized values of each of the three latent factors and (log) overclaiming. The dashed line is a non-liner (LOWESS, bandwidth=0.75) fit for all MPs. The solid line shows the relationship amongst only those MPs who overclaimed. The dotted line is the fit estimated on only White male MPs. The histogram on the top of the plot region describes the distribution of each factor, and the histogram on the righthand side shows the distribution of (log) overclaiming. </w:t>
      </w:r>
    </w:p>
    <w:p w14:paraId="7F3E8D65" w14:textId="77777777" w:rsidR="009B0636" w:rsidRDefault="009B0636" w:rsidP="009B0636"/>
    <w:p w14:paraId="1DC3693C" w14:textId="77777777" w:rsidR="009B0636" w:rsidRDefault="009B0636" w:rsidP="009B0636"/>
    <w:p w14:paraId="6CA8DAEA" w14:textId="0FAABD67" w:rsidR="009B0636" w:rsidRPr="00BF5042" w:rsidRDefault="003922CF" w:rsidP="009B0636">
      <w:pPr>
        <w:spacing w:line="480" w:lineRule="auto"/>
        <w:rPr>
          <w:rFonts w:ascii="Garamond" w:eastAsia="MS Mincho" w:hAnsi="Garamond" w:cs="Times New Roman"/>
          <w:b/>
          <w:bCs/>
        </w:rPr>
      </w:pPr>
      <w:r>
        <w:rPr>
          <w:rFonts w:ascii="Garamond" w:eastAsia="MS Mincho" w:hAnsi="Garamond" w:cs="Times New Roman"/>
        </w:rPr>
        <w:t>I</w:t>
      </w:r>
      <w:r w:rsidR="009B0636">
        <w:rPr>
          <w:rFonts w:ascii="Garamond" w:eastAsia="MS Mincho" w:hAnsi="Garamond" w:cs="Times New Roman"/>
        </w:rPr>
        <w:t xml:space="preserve">n Figure </w:t>
      </w:r>
      <w:r>
        <w:rPr>
          <w:rFonts w:ascii="Garamond" w:eastAsia="MS Mincho" w:hAnsi="Garamond" w:cs="Times New Roman"/>
        </w:rPr>
        <w:t>A5</w:t>
      </w:r>
      <w:r w:rsidR="009B0636">
        <w:rPr>
          <w:rFonts w:ascii="Garamond" w:eastAsia="MS Mincho" w:hAnsi="Garamond" w:cs="Times New Roman"/>
        </w:rPr>
        <w:t>,</w:t>
      </w:r>
      <w:r>
        <w:rPr>
          <w:rFonts w:ascii="Garamond" w:eastAsia="MS Mincho" w:hAnsi="Garamond" w:cs="Times New Roman"/>
        </w:rPr>
        <w:t xml:space="preserve"> we plot</w:t>
      </w:r>
      <w:r w:rsidR="009B0636">
        <w:rPr>
          <w:rFonts w:ascii="Garamond" w:eastAsia="MS Mincho" w:hAnsi="Garamond" w:cs="Times New Roman"/>
        </w:rPr>
        <w:t xml:space="preserve"> </w:t>
      </w:r>
      <w:r w:rsidR="009B0636" w:rsidRPr="00C57644">
        <w:rPr>
          <w:rFonts w:ascii="Garamond" w:eastAsia="MS Mincho" w:hAnsi="Garamond" w:cs="Times New Roman"/>
        </w:rPr>
        <w:t>the natural logarithm of (one pound plus)</w:t>
      </w:r>
      <w:r w:rsidR="009B0636" w:rsidRPr="00170775">
        <w:rPr>
          <w:rStyle w:val="FootnoteReference"/>
          <w:rFonts w:ascii="Garamond" w:eastAsia="MS Mincho" w:hAnsi="Garamond" w:cs="Times New Roman"/>
        </w:rPr>
        <w:t xml:space="preserve"> </w:t>
      </w:r>
      <w:r w:rsidR="009B0636">
        <w:rPr>
          <w:rStyle w:val="FootnoteReference"/>
          <w:rFonts w:ascii="Garamond" w:eastAsia="MS Mincho" w:hAnsi="Garamond" w:cs="Times New Roman"/>
        </w:rPr>
        <w:footnoteReference w:id="1"/>
      </w:r>
      <w:r w:rsidR="009B0636" w:rsidRPr="00C57644">
        <w:rPr>
          <w:rFonts w:ascii="Garamond" w:eastAsia="MS Mincho" w:hAnsi="Garamond" w:cs="Times New Roman"/>
        </w:rPr>
        <w:t xml:space="preserve"> how much MPs overclaimed </w:t>
      </w:r>
      <w:r w:rsidR="009B0636">
        <w:rPr>
          <w:rFonts w:ascii="Garamond" w:eastAsia="MS Mincho" w:hAnsi="Garamond" w:cs="Times New Roman"/>
        </w:rPr>
        <w:t xml:space="preserve">against each of the (standardized) latent factors. Thus, Panel (a) shows the unconditional relationship between </w:t>
      </w:r>
      <w:r w:rsidR="009B0636" w:rsidRPr="00274408">
        <w:rPr>
          <w:rFonts w:ascii="Garamond" w:eastAsia="MS Mincho" w:hAnsi="Garamond" w:cs="Times New Roman"/>
          <w:i/>
          <w:iCs/>
        </w:rPr>
        <w:t xml:space="preserve">Attractiveness </w:t>
      </w:r>
      <w:r w:rsidR="009B0636">
        <w:rPr>
          <w:rFonts w:ascii="Garamond" w:eastAsia="MS Mincho" w:hAnsi="Garamond" w:cs="Times New Roman"/>
        </w:rPr>
        <w:t xml:space="preserve">and overclaiming, and Panels (b) and (c) do the same for </w:t>
      </w:r>
      <w:r w:rsidR="000378A8">
        <w:rPr>
          <w:rFonts w:ascii="Garamond" w:eastAsia="MS Mincho" w:hAnsi="Garamond" w:cs="Times New Roman"/>
          <w:i/>
          <w:iCs/>
        </w:rPr>
        <w:t>Criminality</w:t>
      </w:r>
      <w:r w:rsidR="009B0636">
        <w:rPr>
          <w:rFonts w:ascii="Garamond" w:eastAsia="MS Mincho" w:hAnsi="Garamond" w:cs="Times New Roman"/>
        </w:rPr>
        <w:t xml:space="preserve"> and </w:t>
      </w:r>
      <w:r w:rsidR="000378A8">
        <w:rPr>
          <w:rFonts w:ascii="Garamond" w:eastAsia="MS Mincho" w:hAnsi="Garamond" w:cs="Times New Roman"/>
          <w:i/>
          <w:iCs/>
        </w:rPr>
        <w:t>Competence</w:t>
      </w:r>
      <w:r w:rsidR="009B0636">
        <w:rPr>
          <w:rFonts w:ascii="Garamond" w:eastAsia="MS Mincho" w:hAnsi="Garamond" w:cs="Times New Roman"/>
        </w:rPr>
        <w:t xml:space="preserve"> respectively. Looking first at Panel (a), each MP’s attractiveness factor score is plotted against the (log of) the repayment they were required to make. The mass of points on the x-axis reflects that 340 of the 636 MPs had a required repayment of 0. Looking across all three panels we can see that in each case the unconditional relationship between appearance and overclaiming is not immediately obvious. </w:t>
      </w:r>
    </w:p>
    <w:p w14:paraId="11FD7D54" w14:textId="13E80291" w:rsidR="009B0636" w:rsidRDefault="009B0636" w:rsidP="00A14452">
      <w:pPr>
        <w:spacing w:line="480" w:lineRule="auto"/>
      </w:pPr>
      <w:r>
        <w:rPr>
          <w:rFonts w:ascii="Garamond" w:eastAsia="MS Mincho" w:hAnsi="Garamond" w:cs="Times New Roman"/>
        </w:rPr>
        <w:lastRenderedPageBreak/>
        <w:t xml:space="preserve">     This can also be seen by inspecting the dashed line in each panel which shows a non-linear (LOWESS) fit of overclaiming against factor scores.</w:t>
      </w:r>
      <w:r>
        <w:rPr>
          <w:rStyle w:val="FootnoteReference"/>
          <w:rFonts w:ascii="Garamond" w:eastAsia="MS Mincho" w:hAnsi="Garamond" w:cs="Times New Roman"/>
        </w:rPr>
        <w:footnoteReference w:id="2"/>
      </w:r>
      <w:r>
        <w:rPr>
          <w:rFonts w:ascii="Garamond" w:eastAsia="MS Mincho" w:hAnsi="Garamond" w:cs="Times New Roman"/>
        </w:rPr>
        <w:t xml:space="preserve"> The solid line is the same; but it is estimated only on MPs who overclaimed. As a first step in controlling for differences in ethnicity and gender the dotted line reports the fit estimated only for white male MPs. In Panel (a), the dashed line suggests that those with attractiveness scores more than one SD below the mean were less likely to overclaim. But, there is less evidence of any unconditional relationship between attractiveness and overclaiming amongst other MPs. This may also be seen in the relatively flat solid curve. Looking at Panel (b) we see a similar pattern. Those MPs whose </w:t>
      </w:r>
      <w:r w:rsidR="003C5817">
        <w:rPr>
          <w:rFonts w:ascii="Garamond" w:eastAsia="MS Mincho" w:hAnsi="Garamond" w:cs="Times New Roman"/>
        </w:rPr>
        <w:t>criminality</w:t>
      </w:r>
      <w:r>
        <w:rPr>
          <w:rFonts w:ascii="Garamond" w:eastAsia="MS Mincho" w:hAnsi="Garamond" w:cs="Times New Roman"/>
        </w:rPr>
        <w:t xml:space="preserve"> scores are more than one SD below the mean tended to overclaim more, but </w:t>
      </w:r>
      <w:r w:rsidR="00BC7AAC">
        <w:rPr>
          <w:rFonts w:ascii="Garamond" w:eastAsia="MS Mincho" w:hAnsi="Garamond" w:cs="Times New Roman"/>
        </w:rPr>
        <w:t xml:space="preserve">there is </w:t>
      </w:r>
      <w:r>
        <w:rPr>
          <w:rFonts w:ascii="Garamond" w:eastAsia="MS Mincho" w:hAnsi="Garamond" w:cs="Times New Roman"/>
        </w:rPr>
        <w:t xml:space="preserve">little evidence of any relationship amongst other MPs. In Panel (c), the pattern is a different. Here, </w:t>
      </w:r>
      <w:r w:rsidRPr="004C0657">
        <w:rPr>
          <w:rFonts w:ascii="Garamond" w:eastAsia="MS Mincho" w:hAnsi="Garamond" w:cs="Times New Roman"/>
        </w:rPr>
        <w:t>the mo</w:t>
      </w:r>
      <w:r>
        <w:rPr>
          <w:rFonts w:ascii="Garamond" w:eastAsia="MS Mincho" w:hAnsi="Garamond" w:cs="Times New Roman"/>
        </w:rPr>
        <w:t>re</w:t>
      </w:r>
      <w:r w:rsidRPr="004C0657">
        <w:rPr>
          <w:rFonts w:ascii="Garamond" w:eastAsia="MS Mincho" w:hAnsi="Garamond" w:cs="Times New Roman"/>
        </w:rPr>
        <w:t xml:space="preserve"> </w:t>
      </w:r>
      <w:r>
        <w:rPr>
          <w:rFonts w:ascii="Garamond" w:eastAsia="MS Mincho" w:hAnsi="Garamond" w:cs="Times New Roman"/>
        </w:rPr>
        <w:t xml:space="preserve">competent </w:t>
      </w:r>
      <w:r w:rsidRPr="004C0657">
        <w:rPr>
          <w:rFonts w:ascii="Garamond" w:eastAsia="MS Mincho" w:hAnsi="Garamond" w:cs="Times New Roman"/>
        </w:rPr>
        <w:t>appearing MPs tended to overclaim more,</w:t>
      </w:r>
      <w:r>
        <w:rPr>
          <w:rFonts w:ascii="Garamond" w:eastAsia="MS Mincho" w:hAnsi="Garamond" w:cs="Times New Roman"/>
        </w:rPr>
        <w:t xml:space="preserve"> both above and below the mean. The solid line differs in that it suggests that amongst over-claimers those with Competence scores more than one SD below the mean also tended to overclaim more. In sum, the unconditional relationship between all three factors and overclaiming suggests that overclaiming is higher amongst more</w:t>
      </w:r>
      <w:r w:rsidRPr="004C0657">
        <w:rPr>
          <w:rFonts w:ascii="Garamond" w:eastAsia="MS Mincho" w:hAnsi="Garamond" w:cs="Times New Roman"/>
        </w:rPr>
        <w:t xml:space="preserve"> attractive, less </w:t>
      </w:r>
      <w:r w:rsidR="003C5817">
        <w:rPr>
          <w:rFonts w:ascii="Garamond" w:eastAsia="MS Mincho" w:hAnsi="Garamond" w:cs="Times New Roman"/>
        </w:rPr>
        <w:t>criminal</w:t>
      </w:r>
      <w:r w:rsidRPr="004C0657">
        <w:rPr>
          <w:rFonts w:ascii="Garamond" w:eastAsia="MS Mincho" w:hAnsi="Garamond" w:cs="Times New Roman"/>
        </w:rPr>
        <w:t xml:space="preserve">, and more </w:t>
      </w:r>
      <w:r>
        <w:rPr>
          <w:rFonts w:ascii="Garamond" w:eastAsia="MS Mincho" w:hAnsi="Garamond" w:cs="Times New Roman"/>
        </w:rPr>
        <w:t>competent</w:t>
      </w:r>
      <w:r w:rsidRPr="004C0657">
        <w:rPr>
          <w:rFonts w:ascii="Garamond" w:eastAsia="MS Mincho" w:hAnsi="Garamond" w:cs="Times New Roman"/>
        </w:rPr>
        <w:t xml:space="preserve"> appearing MPs. </w:t>
      </w:r>
    </w:p>
    <w:p w14:paraId="65625CC5" w14:textId="77777777" w:rsidR="00635FA6" w:rsidRDefault="00635FA6" w:rsidP="00635FA6"/>
    <w:p w14:paraId="098DCC75" w14:textId="0F42FE2E" w:rsidR="00635FA6" w:rsidRPr="00390FD4" w:rsidRDefault="00635FA6" w:rsidP="00390FD4">
      <w:pPr>
        <w:pStyle w:val="ListParagraph"/>
        <w:numPr>
          <w:ilvl w:val="0"/>
          <w:numId w:val="1"/>
        </w:numPr>
        <w:rPr>
          <w:rFonts w:ascii="Garamond" w:hAnsi="Garamond"/>
          <w:b/>
          <w:bCs/>
        </w:rPr>
      </w:pPr>
      <w:r w:rsidRPr="00390FD4">
        <w:rPr>
          <w:rFonts w:ascii="Garamond" w:hAnsi="Garamond"/>
          <w:b/>
          <w:bCs/>
        </w:rPr>
        <w:t>Construction of Seniority</w:t>
      </w:r>
    </w:p>
    <w:p w14:paraId="1FE964A5" w14:textId="77777777" w:rsidR="00635FA6" w:rsidRDefault="00635FA6" w:rsidP="00635FA6"/>
    <w:p w14:paraId="57C6D400" w14:textId="77777777" w:rsidR="00635FA6" w:rsidRPr="00C750F9" w:rsidRDefault="00635FA6" w:rsidP="00635FA6">
      <w:pPr>
        <w:spacing w:line="480" w:lineRule="auto"/>
        <w:ind w:firstLine="720"/>
        <w:rPr>
          <w:rFonts w:ascii="Garamond" w:hAnsi="Garamond" w:cs="Times New Roman"/>
        </w:rPr>
      </w:pPr>
      <w:r>
        <w:rPr>
          <w:rFonts w:ascii="Garamond" w:hAnsi="Garamond" w:cs="Times New Roman"/>
        </w:rPr>
        <w:t>As described in the main text we calculate Seniority as the sum of time spent in each government or opposition post weighted by the seniority of that post, i.e. S=</w:t>
      </w:r>
      <m:oMath>
        <m:nary>
          <m:naryPr>
            <m:chr m:val="∑"/>
            <m:supHide m:val="1"/>
            <m:ctrlPr>
              <w:rPr>
                <w:rFonts w:ascii="Cambria Math" w:hAnsi="Cambria Math" w:cs="Times New Roman"/>
                <w:i/>
              </w:rPr>
            </m:ctrlPr>
          </m:naryPr>
          <m:sub>
            <m:r>
              <w:rPr>
                <w:rFonts w:ascii="Cambria Math" w:hAnsi="Cambria Math" w:cs="Times New Roman"/>
              </w:rPr>
              <m:t>i</m:t>
            </m:r>
          </m:sub>
          <m:sup/>
          <m:e>
            <m:sSub>
              <m:sSubPr>
                <m:ctrlPr>
                  <w:rPr>
                    <w:rFonts w:ascii="Cambria Math" w:hAnsi="Cambria Math" w:cs="Times New Roman"/>
                  </w:rPr>
                </m:ctrlPr>
              </m:sSubPr>
              <m:e>
                <m:r>
                  <m:rPr>
                    <m:sty m:val="p"/>
                  </m:rPr>
                  <w:rPr>
                    <w:rFonts w:ascii="Cambria Math" w:hAnsi="Cambria Math" w:cs="Times New Roman"/>
                  </w:rPr>
                  <m:t>W</m:t>
                </m:r>
              </m:e>
              <m:sub>
                <m:r>
                  <m:rPr>
                    <m:sty m:val="p"/>
                  </m:rPr>
                  <w:rPr>
                    <w:rFonts w:ascii="Cambria Math" w:hAnsi="Cambria Math" w:cs="Times New Roman"/>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i</m:t>
                </m:r>
              </m:sub>
            </m:sSub>
          </m:e>
        </m:nary>
      </m:oMath>
      <w:r>
        <w:rPr>
          <w:rFonts w:ascii="Garamond" w:hAnsi="Garamond" w:cs="Times New Roman"/>
        </w:rPr>
        <w:t>. We use</w:t>
      </w:r>
      <w:r w:rsidRPr="00C750F9">
        <w:rPr>
          <w:rFonts w:ascii="Garamond" w:hAnsi="Garamond" w:cs="Times New Roman"/>
        </w:rPr>
        <w:t>, an arbitrary but natural</w:t>
      </w:r>
      <w:r>
        <w:rPr>
          <w:rFonts w:ascii="Garamond" w:hAnsi="Garamond" w:cs="Times New Roman"/>
        </w:rPr>
        <w:t xml:space="preserve"> set of weights</w:t>
      </w:r>
      <w:r w:rsidRPr="00C750F9">
        <w:rPr>
          <w:rFonts w:ascii="Garamond" w:hAnsi="Garamond" w:cs="Times New Roman"/>
        </w:rPr>
        <w:t xml:space="preserve"> weighting function </w:t>
      </w:r>
      <m:oMath>
        <m:sSub>
          <m:sSubPr>
            <m:ctrlPr>
              <w:rPr>
                <w:rFonts w:ascii="Cambria Math" w:hAnsi="Cambria Math" w:cs="Times New Roman"/>
                <w:i/>
              </w:rPr>
            </m:ctrlPr>
          </m:sSubPr>
          <m:e>
            <m:r>
              <w:rPr>
                <w:rFonts w:ascii="Cambria Math" w:hAnsi="Cambria Math" w:cs="Times New Roman"/>
              </w:rPr>
              <m:t>W</m:t>
            </m:r>
          </m:e>
          <m:sub>
            <m:r>
              <w:rPr>
                <w:rFonts w:ascii="Cambria Math" w:hAnsi="Cambria Math" w:cs="Times New Roman"/>
              </w:rPr>
              <m:t>i</m:t>
            </m:r>
          </m:sub>
        </m:sSub>
        <m:r>
          <w:rPr>
            <w:rFonts w:ascii="Cambria Math" w:hAnsi="Cambria Math" w:cs="Times New Roman"/>
          </w:rPr>
          <m:t>=</m:t>
        </m:r>
        <m:func>
          <m:funcPr>
            <m:ctrlPr>
              <w:rPr>
                <w:rFonts w:ascii="Cambria Math" w:hAnsi="Cambria Math" w:cs="Times New Roman"/>
                <w:i/>
              </w:rPr>
            </m:ctrlPr>
          </m:funcPr>
          <m:fName>
            <m:r>
              <m:rPr>
                <m:sty m:val="p"/>
              </m:rPr>
              <w:rPr>
                <w:rFonts w:ascii="Cambria Math" w:hAnsi="Cambria Math" w:cs="Times New Roman"/>
              </w:rPr>
              <m:t>exp</m:t>
            </m:r>
          </m:fName>
          <m:e>
            <m:d>
              <m:dPr>
                <m:begChr m:val="["/>
                <m:endChr m:val="]"/>
                <m:ctrlPr>
                  <w:rPr>
                    <w:rFonts w:ascii="Cambria Math" w:hAnsi="Cambria Math" w:cs="Times New Roman"/>
                    <w:i/>
                  </w:rPr>
                </m:ctrlPr>
              </m:dPr>
              <m:e>
                <m:sSubSup>
                  <m:sSubSupPr>
                    <m:ctrlPr>
                      <w:rPr>
                        <w:rFonts w:ascii="Cambria Math" w:hAnsi="Cambria Math" w:cs="Times New Roman"/>
                        <w:i/>
                      </w:rPr>
                    </m:ctrlPr>
                  </m:sSubSupPr>
                  <m:e>
                    <m:r>
                      <w:rPr>
                        <w:rFonts w:ascii="Cambria Math" w:hAnsi="Cambria Math" w:cs="Times New Roman"/>
                      </w:rPr>
                      <m:t>w</m:t>
                    </m:r>
                  </m:e>
                  <m:sub>
                    <m:r>
                      <w:rPr>
                        <w:rFonts w:ascii="Cambria Math" w:hAnsi="Cambria Math" w:cs="Times New Roman"/>
                      </w:rPr>
                      <m:t>i</m:t>
                    </m:r>
                  </m:sub>
                  <m:sup>
                    <m:r>
                      <w:rPr>
                        <w:rFonts w:ascii="Cambria Math" w:hAnsi="Cambria Math" w:cs="Times New Roman"/>
                      </w:rPr>
                      <m:t>2</m:t>
                    </m:r>
                  </m:sup>
                </m:sSubSup>
              </m:e>
            </m:d>
          </m:e>
        </m:func>
      </m:oMath>
      <w:r>
        <w:rPr>
          <w:rFonts w:ascii="Garamond" w:hAnsi="Garamond" w:cs="Times New Roman"/>
        </w:rPr>
        <w:t xml:space="preserve"> where </w:t>
      </w:r>
      <m:oMath>
        <m:sSub>
          <m:sSubPr>
            <m:ctrlPr>
              <w:rPr>
                <w:rFonts w:ascii="Cambria Math" w:hAnsi="Cambria Math" w:cs="Times New Roman"/>
                <w:i/>
              </w:rPr>
            </m:ctrlPr>
          </m:sSubPr>
          <m:e>
            <m:r>
              <w:rPr>
                <w:rFonts w:ascii="Cambria Math" w:hAnsi="Cambria Math" w:cs="Times New Roman"/>
              </w:rPr>
              <m:t>w</m:t>
            </m:r>
          </m:e>
          <m:sub>
            <m:r>
              <w:rPr>
                <w:rFonts w:ascii="Cambria Math" w:hAnsi="Cambria Math" w:cs="Times New Roman"/>
              </w:rPr>
              <m:t>i</m:t>
            </m:r>
          </m:sub>
        </m:sSub>
      </m:oMath>
      <w:r w:rsidRPr="00C750F9">
        <w:rPr>
          <w:rFonts w:ascii="Garamond" w:hAnsi="Garamond" w:cs="Times New Roman"/>
        </w:rPr>
        <w:t xml:space="preserve"> takes value 5 for Prime Minister, down to 0 for a parliamentary under secretary.  </w:t>
      </w:r>
      <w:r>
        <w:rPr>
          <w:rFonts w:ascii="Garamond" w:hAnsi="Garamond" w:cs="Times New Roman"/>
        </w:rPr>
        <w:t>Specifically,</w:t>
      </w:r>
      <w:r w:rsidRPr="00C750F9">
        <w:rPr>
          <w:rFonts w:ascii="Garamond" w:hAnsi="Garamond" w:cs="Times New Roman"/>
        </w:rPr>
        <w:t xml:space="preserve"> </w:t>
      </w:r>
      <m:oMath>
        <m:sSub>
          <m:sSubPr>
            <m:ctrlPr>
              <w:rPr>
                <w:rFonts w:ascii="Cambria Math" w:hAnsi="Cambria Math" w:cs="Times New Roman"/>
                <w:i/>
              </w:rPr>
            </m:ctrlPr>
          </m:sSubPr>
          <m:e>
            <m:r>
              <w:rPr>
                <w:rFonts w:ascii="Cambria Math" w:hAnsi="Cambria Math" w:cs="Times New Roman"/>
              </w:rPr>
              <m:t>w</m:t>
            </m:r>
          </m:e>
          <m:sub>
            <m:r>
              <w:rPr>
                <w:rFonts w:ascii="Cambria Math" w:hAnsi="Cambria Math" w:cs="Times New Roman"/>
              </w:rPr>
              <m:t>i</m:t>
            </m:r>
          </m:sub>
        </m:sSub>
      </m:oMath>
      <w:r w:rsidRPr="00C750F9">
        <w:rPr>
          <w:rFonts w:ascii="Garamond" w:hAnsi="Garamond" w:cs="Times New Roman"/>
        </w:rPr>
        <w:t xml:space="preserve">= </w:t>
      </w:r>
      <w:r>
        <w:rPr>
          <w:rFonts w:ascii="Garamond" w:hAnsi="Garamond" w:cs="Times New Roman"/>
        </w:rPr>
        <w:t>4</w:t>
      </w:r>
      <w:r w:rsidRPr="00C750F9">
        <w:rPr>
          <w:rFonts w:ascii="Garamond" w:hAnsi="Garamond" w:cs="Times New Roman"/>
        </w:rPr>
        <w:t xml:space="preserve"> for the great offices of state,  </w:t>
      </w:r>
      <m:oMath>
        <m:sSub>
          <m:sSubPr>
            <m:ctrlPr>
              <w:rPr>
                <w:rFonts w:ascii="Cambria Math" w:hAnsi="Cambria Math" w:cs="Times New Roman"/>
                <w:i/>
              </w:rPr>
            </m:ctrlPr>
          </m:sSubPr>
          <m:e>
            <m:r>
              <w:rPr>
                <w:rFonts w:ascii="Cambria Math" w:hAnsi="Cambria Math" w:cs="Times New Roman"/>
              </w:rPr>
              <m:t>w</m:t>
            </m:r>
          </m:e>
          <m:sub>
            <m:r>
              <w:rPr>
                <w:rFonts w:ascii="Cambria Math" w:hAnsi="Cambria Math" w:cs="Times New Roman"/>
              </w:rPr>
              <m:t>i</m:t>
            </m:r>
          </m:sub>
        </m:sSub>
      </m:oMath>
      <w:r w:rsidRPr="00C750F9">
        <w:rPr>
          <w:rFonts w:ascii="Garamond" w:hAnsi="Garamond" w:cs="Times New Roman"/>
        </w:rPr>
        <w:t xml:space="preserve">= </w:t>
      </w:r>
      <w:r>
        <w:rPr>
          <w:rFonts w:ascii="Garamond" w:hAnsi="Garamond" w:cs="Times New Roman"/>
        </w:rPr>
        <w:t>3</w:t>
      </w:r>
      <w:r w:rsidRPr="00C750F9">
        <w:rPr>
          <w:rFonts w:ascii="Garamond" w:hAnsi="Garamond" w:cs="Times New Roman"/>
        </w:rPr>
        <w:t xml:space="preserve"> for other secretary of state positions, </w:t>
      </w:r>
      <m:oMath>
        <m:sSub>
          <m:sSubPr>
            <m:ctrlPr>
              <w:rPr>
                <w:rFonts w:ascii="Cambria Math" w:hAnsi="Cambria Math" w:cs="Times New Roman"/>
                <w:i/>
              </w:rPr>
            </m:ctrlPr>
          </m:sSubPr>
          <m:e>
            <m:r>
              <w:rPr>
                <w:rFonts w:ascii="Cambria Math" w:hAnsi="Cambria Math" w:cs="Times New Roman"/>
              </w:rPr>
              <m:t>w</m:t>
            </m:r>
          </m:e>
          <m:sub>
            <m:r>
              <w:rPr>
                <w:rFonts w:ascii="Cambria Math" w:hAnsi="Cambria Math" w:cs="Times New Roman"/>
              </w:rPr>
              <m:t>i</m:t>
            </m:r>
          </m:sub>
        </m:sSub>
      </m:oMath>
      <w:r w:rsidRPr="00C750F9">
        <w:rPr>
          <w:rFonts w:ascii="Garamond" w:hAnsi="Garamond" w:cs="Times New Roman"/>
        </w:rPr>
        <w:t xml:space="preserve">= </w:t>
      </w:r>
      <w:r>
        <w:rPr>
          <w:rFonts w:ascii="Garamond" w:hAnsi="Garamond" w:cs="Times New Roman"/>
        </w:rPr>
        <w:t xml:space="preserve">2 </w:t>
      </w:r>
      <w:r w:rsidRPr="00C750F9">
        <w:rPr>
          <w:rFonts w:ascii="Garamond" w:hAnsi="Garamond" w:cs="Times New Roman"/>
        </w:rPr>
        <w:t>for minister of state</w:t>
      </w:r>
      <w:r>
        <w:rPr>
          <w:rFonts w:ascii="Garamond" w:hAnsi="Garamond" w:cs="Times New Roman"/>
        </w:rPr>
        <w:t xml:space="preserve">, </w:t>
      </w:r>
      <m:oMath>
        <m:sSub>
          <m:sSubPr>
            <m:ctrlPr>
              <w:rPr>
                <w:rFonts w:ascii="Cambria Math" w:hAnsi="Cambria Math" w:cs="Times New Roman"/>
                <w:i/>
              </w:rPr>
            </m:ctrlPr>
          </m:sSubPr>
          <m:e>
            <m:r>
              <w:rPr>
                <w:rFonts w:ascii="Cambria Math" w:hAnsi="Cambria Math" w:cs="Times New Roman"/>
              </w:rPr>
              <m:t>w</m:t>
            </m:r>
          </m:e>
          <m:sub>
            <m:r>
              <w:rPr>
                <w:rFonts w:ascii="Cambria Math" w:hAnsi="Cambria Math" w:cs="Times New Roman"/>
              </w:rPr>
              <m:t>i</m:t>
            </m:r>
          </m:sub>
        </m:sSub>
      </m:oMath>
      <w:r w:rsidRPr="00C750F9">
        <w:rPr>
          <w:rFonts w:ascii="Garamond" w:hAnsi="Garamond" w:cs="Times New Roman"/>
        </w:rPr>
        <w:t xml:space="preserve">= </w:t>
      </w:r>
      <w:r>
        <w:rPr>
          <w:rFonts w:ascii="Garamond" w:hAnsi="Garamond" w:cs="Times New Roman"/>
        </w:rPr>
        <w:t>1 parliamentary secretary</w:t>
      </w:r>
      <w:r w:rsidRPr="00C750F9">
        <w:rPr>
          <w:rFonts w:ascii="Garamond" w:hAnsi="Garamond" w:cs="Times New Roman"/>
        </w:rPr>
        <w:t xml:space="preserve">. Opposition roles are 1 lower in every case. This means that while </w:t>
      </w:r>
      <w:r w:rsidRPr="00C750F9">
        <w:rPr>
          <w:rFonts w:ascii="Garamond" w:hAnsi="Garamond" w:cs="Times New Roman"/>
        </w:rPr>
        <w:lastRenderedPageBreak/>
        <w:t xml:space="preserve">almost no amount of time in any other role is the counted the same as a year as prime minister, there is a gentler </w:t>
      </w:r>
      <w:proofErr w:type="spellStart"/>
      <w:r w:rsidRPr="00C750F9">
        <w:rPr>
          <w:rFonts w:ascii="Garamond" w:hAnsi="Garamond" w:cs="Times New Roman"/>
        </w:rPr>
        <w:t>tradeo</w:t>
      </w:r>
      <w:r>
        <w:rPr>
          <w:rFonts w:ascii="Garamond" w:hAnsi="Garamond" w:cs="Times New Roman"/>
        </w:rPr>
        <w:t>ff</w:t>
      </w:r>
      <w:proofErr w:type="spellEnd"/>
      <w:r>
        <w:rPr>
          <w:rFonts w:ascii="Garamond" w:hAnsi="Garamond" w:cs="Times New Roman"/>
        </w:rPr>
        <w:t xml:space="preserve"> at less senior positions.  Moreover, note that as the prime-minister is excluded from our analysis the choice of that weight does not affect any calculation. </w:t>
      </w:r>
    </w:p>
    <w:p w14:paraId="01BFD779" w14:textId="77777777" w:rsidR="00635FA6" w:rsidRDefault="00635FA6" w:rsidP="00635FA6"/>
    <w:p w14:paraId="37B9FDC5" w14:textId="5012CD9E" w:rsidR="00635FA6" w:rsidRDefault="00635FA6" w:rsidP="00635FA6">
      <w:pPr>
        <w:rPr>
          <w:noProof/>
        </w:rPr>
      </w:pPr>
      <w:r w:rsidRPr="00D15971">
        <w:rPr>
          <w:noProof/>
        </w:rPr>
        <w:t xml:space="preserve"> </w:t>
      </w:r>
    </w:p>
    <w:p w14:paraId="7C66FD2A" w14:textId="4AE91522" w:rsidR="00BC7AAC" w:rsidRPr="00390FD4" w:rsidRDefault="00840374" w:rsidP="00390FD4">
      <w:pPr>
        <w:pStyle w:val="ListParagraph"/>
        <w:numPr>
          <w:ilvl w:val="0"/>
          <w:numId w:val="1"/>
        </w:numPr>
        <w:spacing w:line="480" w:lineRule="auto"/>
        <w:rPr>
          <w:rFonts w:ascii="Garamond" w:hAnsi="Garamond" w:cs="Times New Roman"/>
          <w:b/>
          <w:bCs/>
        </w:rPr>
      </w:pPr>
      <w:r w:rsidRPr="00390FD4">
        <w:rPr>
          <w:rFonts w:ascii="Garamond" w:hAnsi="Garamond" w:cs="Times New Roman"/>
          <w:b/>
          <w:bCs/>
        </w:rPr>
        <w:t>Example Rating Task</w:t>
      </w:r>
    </w:p>
    <w:p w14:paraId="4544B77F" w14:textId="7840575A" w:rsidR="00BC7AAC" w:rsidRDefault="00BC7AAC" w:rsidP="00635FA6">
      <w:pPr>
        <w:rPr>
          <w:noProof/>
        </w:rPr>
      </w:pPr>
    </w:p>
    <w:p w14:paraId="57641E31" w14:textId="77777777" w:rsidR="00BC7AAC" w:rsidRDefault="00BC7AAC" w:rsidP="00635FA6"/>
    <w:p w14:paraId="2DC921AB" w14:textId="2908D941" w:rsidR="008D2629" w:rsidRDefault="00635FA6" w:rsidP="00635FA6">
      <w:r w:rsidRPr="007428A3">
        <w:rPr>
          <w:rFonts w:ascii="Garamond" w:hAnsi="Garamond"/>
          <w:noProof/>
          <w:lang w:eastAsia="ja-JP"/>
        </w:rPr>
        <w:drawing>
          <wp:inline distT="0" distB="0" distL="0" distR="0" wp14:anchorId="6DFCC95E" wp14:editId="15C5FF68">
            <wp:extent cx="5727700" cy="4526915"/>
            <wp:effectExtent l="0" t="0" r="0" b="0"/>
            <wp:docPr id="13" name="Picture 13" descr="A screenshot of a social media po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27700" cy="4526915"/>
                    </a:xfrm>
                    <a:prstGeom prst="rect">
                      <a:avLst/>
                    </a:prstGeom>
                  </pic:spPr>
                </pic:pic>
              </a:graphicData>
            </a:graphic>
          </wp:inline>
        </w:drawing>
      </w:r>
    </w:p>
    <w:p w14:paraId="7598FF0C" w14:textId="760CC86D" w:rsidR="00FE45FD" w:rsidRPr="00A14452" w:rsidRDefault="00F16750" w:rsidP="00A14452">
      <w:pPr>
        <w:spacing w:line="480" w:lineRule="auto"/>
        <w:rPr>
          <w:rFonts w:ascii="Garamond" w:eastAsia="MS Mincho" w:hAnsi="Garamond" w:cs="Times New Roman"/>
          <w:i/>
          <w:iCs/>
        </w:rPr>
      </w:pPr>
      <w:r w:rsidRPr="00A14452">
        <w:rPr>
          <w:rFonts w:ascii="Garamond" w:eastAsia="MS Mincho" w:hAnsi="Garamond" w:cs="Times New Roman"/>
          <w:i/>
          <w:iCs/>
        </w:rPr>
        <w:t xml:space="preserve">Figure A5: </w:t>
      </w:r>
      <w:r w:rsidR="006973DE" w:rsidRPr="00A14452">
        <w:rPr>
          <w:rFonts w:ascii="Garamond" w:eastAsia="MS Mincho" w:hAnsi="Garamond" w:cs="Times New Roman"/>
          <w:i/>
          <w:iCs/>
        </w:rPr>
        <w:t xml:space="preserve">Screenshot of the online survey used to obtain trait ratings of each MP. </w:t>
      </w:r>
    </w:p>
    <w:sectPr w:rsidR="00FE45FD" w:rsidRPr="00A14452" w:rsidSect="005E276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657BAA" w14:textId="77777777" w:rsidR="00190B45" w:rsidRDefault="00190B45" w:rsidP="00FE45FD">
      <w:r>
        <w:separator/>
      </w:r>
    </w:p>
  </w:endnote>
  <w:endnote w:type="continuationSeparator" w:id="0">
    <w:p w14:paraId="0D4C6262" w14:textId="77777777" w:rsidR="00190B45" w:rsidRDefault="00190B45" w:rsidP="00FE4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A565B0" w14:textId="77777777" w:rsidR="00190B45" w:rsidRDefault="00190B45" w:rsidP="00FE45FD">
      <w:r>
        <w:separator/>
      </w:r>
    </w:p>
  </w:footnote>
  <w:footnote w:type="continuationSeparator" w:id="0">
    <w:p w14:paraId="61C40331" w14:textId="77777777" w:rsidR="00190B45" w:rsidRDefault="00190B45" w:rsidP="00FE45FD">
      <w:r>
        <w:continuationSeparator/>
      </w:r>
    </w:p>
  </w:footnote>
  <w:footnote w:id="1">
    <w:p w14:paraId="5B1590B9" w14:textId="77777777" w:rsidR="009B0636" w:rsidRPr="00622AAF" w:rsidRDefault="009B0636" w:rsidP="009B0636">
      <w:pPr>
        <w:pStyle w:val="FootnoteText"/>
        <w:rPr>
          <w:lang w:val="en-GB"/>
        </w:rPr>
      </w:pPr>
      <w:r>
        <w:rPr>
          <w:rStyle w:val="FootnoteReference"/>
        </w:rPr>
        <w:footnoteRef/>
      </w:r>
      <w:r>
        <w:t xml:space="preserve"> </w:t>
      </w:r>
      <w:r>
        <w:rPr>
          <w:rFonts w:ascii="Garamond" w:eastAsia="MS Mincho" w:hAnsi="Garamond" w:cs="Times New Roman"/>
        </w:rPr>
        <w:t>We add one pound because</w:t>
      </w:r>
      <w:r w:rsidRPr="00AA28C2">
        <w:rPr>
          <w:rFonts w:ascii="Garamond" w:eastAsia="MS Mincho" w:hAnsi="Garamond" w:cs="Times New Roman"/>
        </w:rPr>
        <w:t xml:space="preserve"> the logarithm of 0 is undefined.</w:t>
      </w:r>
    </w:p>
  </w:footnote>
  <w:footnote w:id="2">
    <w:p w14:paraId="655DF002" w14:textId="77777777" w:rsidR="009B0636" w:rsidRPr="00A14452" w:rsidRDefault="009B0636" w:rsidP="009B0636">
      <w:pPr>
        <w:pStyle w:val="FootnoteText"/>
        <w:rPr>
          <w:rFonts w:ascii="Garamond" w:hAnsi="Garamond"/>
          <w:sz w:val="24"/>
          <w:szCs w:val="24"/>
          <w:lang w:val="en-GB"/>
        </w:rPr>
      </w:pPr>
      <w:r w:rsidRPr="00A14452">
        <w:rPr>
          <w:rStyle w:val="FootnoteReference"/>
          <w:rFonts w:ascii="Garamond" w:hAnsi="Garamond"/>
          <w:sz w:val="24"/>
          <w:szCs w:val="24"/>
        </w:rPr>
        <w:footnoteRef/>
      </w:r>
      <w:r w:rsidRPr="00A14452">
        <w:rPr>
          <w:rFonts w:ascii="Garamond" w:hAnsi="Garamond"/>
          <w:sz w:val="24"/>
          <w:szCs w:val="24"/>
        </w:rPr>
        <w:t xml:space="preserve"> </w:t>
      </w:r>
      <w:r w:rsidRPr="00A14452">
        <w:rPr>
          <w:rFonts w:ascii="Garamond" w:hAnsi="Garamond"/>
          <w:lang w:val="en-GB"/>
        </w:rPr>
        <w:t>We use the conventional bandwidth of 0.75.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3247D9"/>
    <w:multiLevelType w:val="hybridMultilevel"/>
    <w:tmpl w:val="E20C6672"/>
    <w:lvl w:ilvl="0" w:tplc="6C84862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FA6"/>
    <w:rsid w:val="00000A56"/>
    <w:rsid w:val="000378A8"/>
    <w:rsid w:val="000B76ED"/>
    <w:rsid w:val="00162DE9"/>
    <w:rsid w:val="00190B45"/>
    <w:rsid w:val="001F3093"/>
    <w:rsid w:val="001F65E0"/>
    <w:rsid w:val="00267048"/>
    <w:rsid w:val="002961E6"/>
    <w:rsid w:val="002A68EE"/>
    <w:rsid w:val="00307F0C"/>
    <w:rsid w:val="00390FD4"/>
    <w:rsid w:val="003922CF"/>
    <w:rsid w:val="003940E1"/>
    <w:rsid w:val="003C5817"/>
    <w:rsid w:val="00444247"/>
    <w:rsid w:val="005D113F"/>
    <w:rsid w:val="005E2769"/>
    <w:rsid w:val="00635FA6"/>
    <w:rsid w:val="006611E8"/>
    <w:rsid w:val="0069358A"/>
    <w:rsid w:val="006973DE"/>
    <w:rsid w:val="00840374"/>
    <w:rsid w:val="009B0636"/>
    <w:rsid w:val="00A14452"/>
    <w:rsid w:val="00A45096"/>
    <w:rsid w:val="00BC7AAC"/>
    <w:rsid w:val="00CB1DF0"/>
    <w:rsid w:val="00CE6152"/>
    <w:rsid w:val="00D20DCA"/>
    <w:rsid w:val="00D8022F"/>
    <w:rsid w:val="00E03F18"/>
    <w:rsid w:val="00EB3716"/>
    <w:rsid w:val="00F00FB5"/>
    <w:rsid w:val="00F16750"/>
    <w:rsid w:val="00FB3C7C"/>
    <w:rsid w:val="00FB3E8A"/>
    <w:rsid w:val="00FE45FD"/>
    <w:rsid w:val="00FF4A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90B5F59"/>
  <w15:chartTrackingRefBased/>
  <w15:docId w15:val="{B4B3A786-798E-7B44-905A-29621EB5E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5F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3F1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03F18"/>
    <w:rPr>
      <w:rFonts w:ascii="Times New Roman" w:hAnsi="Times New Roman" w:cs="Times New Roman"/>
      <w:sz w:val="18"/>
      <w:szCs w:val="18"/>
    </w:rPr>
  </w:style>
  <w:style w:type="paragraph" w:styleId="FootnoteText">
    <w:name w:val="footnote text"/>
    <w:basedOn w:val="Normal"/>
    <w:link w:val="FootnoteTextChar"/>
    <w:uiPriority w:val="99"/>
    <w:semiHidden/>
    <w:unhideWhenUsed/>
    <w:rsid w:val="00FE45FD"/>
    <w:rPr>
      <w:rFonts w:eastAsiaTheme="minorEastAsia"/>
      <w:sz w:val="20"/>
      <w:szCs w:val="20"/>
      <w:lang w:val="en-US"/>
    </w:rPr>
  </w:style>
  <w:style w:type="character" w:customStyle="1" w:styleId="FootnoteTextChar">
    <w:name w:val="Footnote Text Char"/>
    <w:basedOn w:val="DefaultParagraphFont"/>
    <w:link w:val="FootnoteText"/>
    <w:uiPriority w:val="99"/>
    <w:semiHidden/>
    <w:rsid w:val="00FE45FD"/>
    <w:rPr>
      <w:rFonts w:eastAsiaTheme="minorEastAsia"/>
      <w:sz w:val="20"/>
      <w:szCs w:val="20"/>
      <w:lang w:val="en-US"/>
    </w:rPr>
  </w:style>
  <w:style w:type="character" w:styleId="FootnoteReference">
    <w:name w:val="footnote reference"/>
    <w:basedOn w:val="DefaultParagraphFont"/>
    <w:uiPriority w:val="99"/>
    <w:semiHidden/>
    <w:unhideWhenUsed/>
    <w:rsid w:val="00FE45FD"/>
    <w:rPr>
      <w:vertAlign w:val="superscript"/>
    </w:rPr>
  </w:style>
  <w:style w:type="character" w:styleId="CommentReference">
    <w:name w:val="annotation reference"/>
    <w:basedOn w:val="DefaultParagraphFont"/>
    <w:uiPriority w:val="99"/>
    <w:semiHidden/>
    <w:unhideWhenUsed/>
    <w:rsid w:val="00BC7AAC"/>
    <w:rPr>
      <w:sz w:val="16"/>
      <w:szCs w:val="16"/>
    </w:rPr>
  </w:style>
  <w:style w:type="paragraph" w:styleId="CommentText">
    <w:name w:val="annotation text"/>
    <w:basedOn w:val="Normal"/>
    <w:link w:val="CommentTextChar"/>
    <w:uiPriority w:val="99"/>
    <w:semiHidden/>
    <w:unhideWhenUsed/>
    <w:rsid w:val="00BC7AAC"/>
    <w:rPr>
      <w:sz w:val="20"/>
      <w:szCs w:val="20"/>
    </w:rPr>
  </w:style>
  <w:style w:type="character" w:customStyle="1" w:styleId="CommentTextChar">
    <w:name w:val="Comment Text Char"/>
    <w:basedOn w:val="DefaultParagraphFont"/>
    <w:link w:val="CommentText"/>
    <w:uiPriority w:val="99"/>
    <w:semiHidden/>
    <w:rsid w:val="00BC7AAC"/>
    <w:rPr>
      <w:sz w:val="20"/>
      <w:szCs w:val="20"/>
    </w:rPr>
  </w:style>
  <w:style w:type="paragraph" w:styleId="CommentSubject">
    <w:name w:val="annotation subject"/>
    <w:basedOn w:val="CommentText"/>
    <w:next w:val="CommentText"/>
    <w:link w:val="CommentSubjectChar"/>
    <w:uiPriority w:val="99"/>
    <w:semiHidden/>
    <w:unhideWhenUsed/>
    <w:rsid w:val="00BC7AAC"/>
    <w:rPr>
      <w:b/>
      <w:bCs/>
    </w:rPr>
  </w:style>
  <w:style w:type="character" w:customStyle="1" w:styleId="CommentSubjectChar">
    <w:name w:val="Comment Subject Char"/>
    <w:basedOn w:val="CommentTextChar"/>
    <w:link w:val="CommentSubject"/>
    <w:uiPriority w:val="99"/>
    <w:semiHidden/>
    <w:rsid w:val="00BC7AAC"/>
    <w:rPr>
      <w:b/>
      <w:bCs/>
      <w:sz w:val="20"/>
      <w:szCs w:val="20"/>
    </w:rPr>
  </w:style>
  <w:style w:type="paragraph" w:styleId="Revision">
    <w:name w:val="Revision"/>
    <w:hidden/>
    <w:uiPriority w:val="99"/>
    <w:semiHidden/>
    <w:rsid w:val="002A68EE"/>
  </w:style>
  <w:style w:type="paragraph" w:styleId="ListParagraph">
    <w:name w:val="List Paragraph"/>
    <w:basedOn w:val="Normal"/>
    <w:uiPriority w:val="34"/>
    <w:qFormat/>
    <w:rsid w:val="00390F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786</Words>
  <Characters>4485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5261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Rockey, James (Dr.)</dc:creator>
  <cp:keywords/>
  <dc:description/>
  <cp:lastModifiedBy>James Rockey (Economics)</cp:lastModifiedBy>
  <cp:revision>6</cp:revision>
  <cp:lastPrinted>2020-02-18T17:20:00Z</cp:lastPrinted>
  <dcterms:created xsi:type="dcterms:W3CDTF">2021-01-10T23:53:00Z</dcterms:created>
  <dcterms:modified xsi:type="dcterms:W3CDTF">2021-06-01T22:55:00Z</dcterms:modified>
  <cp:category/>
</cp:coreProperties>
</file>